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8" w:space="0" w:color="1F3A4D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</w:tcPr>
          <w:p>
            <w:pPr>
              <w:spacing w:before="160"/>
            </w:pPr>
            <w:r>
              <w:drawing>
                <wp:inline xmlns:a="http://schemas.openxmlformats.org/drawingml/2006/main" xmlns:pic="http://schemas.openxmlformats.org/drawingml/2006/picture">
                  <wp:extent cx="2391236" cy="5303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ma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236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0"/>
          </w:tcPr>
          <w:p>
            <w:pPr>
              <w:spacing w:before="22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479479" cy="43891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pa_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479" cy="4389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/>
        <w:pBdr>
          <w:bottom w:val="single" w:sz="10" w:space="5" w:color="1F3A4D"/>
        </w:pBdr>
      </w:pPr>
      <w:r>
        <w:rPr>
          <w:b w:val="0"/>
          <w:i w:val="0"/>
          <w:color w:val="555555"/>
          <w:sz w:val="19"/>
        </w:rPr>
        <w:t>6-1366 Aster Street, Pemberton, BC   |   Phone 778-887-4664   |   coastmountainaccounting.com</w:t>
      </w:r>
    </w:p>
    <w:p>
      <w:pPr>
        <w:spacing w:before="280"/>
      </w:pPr>
      <w:r>
        <w:rPr>
          <w:b/>
          <w:i w:val="0"/>
          <w:color w:val="1F3A4D"/>
          <w:sz w:val="36"/>
        </w:rPr>
        <w:t>Business Expenses Checklist</w:t>
      </w:r>
    </w:p>
    <w:p>
      <w:pPr>
        <w:spacing w:before="80"/>
      </w:pPr>
      <w:r>
        <w:rPr>
          <w:b w:val="0"/>
          <w:i w:val="0"/>
          <w:sz w:val="19"/>
        </w:rPr>
        <w:t>Common business expenses to consider. Tick the ones that apply to you.</w:t>
      </w:r>
    </w:p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type="dxa" w:w="10080"/>
      </w:tblPr>
      <w:tblGrid>
        <w:gridCol w:w="4824"/>
        <w:gridCol w:w="432"/>
        <w:gridCol w:w="4824"/>
      </w:tblGrid>
      <w:tr>
        <w:tc>
          <w:tcPr>
            <w:tcW w:type="dxa" w:w="4824"/>
          </w:tcPr>
          <w:p>
            <w:pPr>
              <w:spacing w:before="0" w:after="80"/>
              <w:pBdr>
                <w:bottom w:val="single" w:sz="4" w:space="3" w:color="9AA5AE"/>
              </w:pBdr>
            </w:pPr>
            <w:r>
              <w:rPr>
                <w:b/>
                <w:i w:val="0"/>
                <w:color w:val="1F3A4D"/>
                <w:sz w:val="23"/>
              </w:rPr>
              <w:t>Running the business</w:t>
            </w:r>
          </w:p>
          <w:p>
            <w:pPr>
              <w:spacing w:after="50"/>
              <w:ind w:left="360" w:hanging="360"/>
            </w:pPr>
            <w:sdt>
              <w:sdtPr>
                <w:id w:val="1001"/>
                <w:alias w:val="Advertising"/>
                <w:tag w:val="chk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Advertising</w:t>
            </w:r>
          </w:p>
          <w:p>
            <w:pPr>
              <w:spacing w:after="50"/>
              <w:ind w:left="360" w:hanging="360"/>
            </w:pPr>
            <w:sdt>
              <w:sdtPr>
                <w:id w:val="1002"/>
                <w:alias w:val="Bad debts"/>
                <w:tag w:val="chk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Bad debts</w:t>
            </w:r>
          </w:p>
          <w:p>
            <w:pPr>
              <w:spacing w:after="50"/>
              <w:ind w:left="360" w:hanging="360"/>
            </w:pPr>
            <w:sdt>
              <w:sdtPr>
                <w:id w:val="1003"/>
                <w:alias w:val="Business start-up costs"/>
                <w:tag w:val="chk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Business start-up costs</w:t>
            </w:r>
          </w:p>
          <w:p>
            <w:pPr>
              <w:spacing w:after="50"/>
              <w:ind w:left="360" w:hanging="360"/>
            </w:pPr>
            <w:sdt>
              <w:sdtPr>
                <w:id w:val="1004"/>
                <w:alias w:val="Business taxes, fees, licences and dues"/>
                <w:tag w:val="chk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Business taxes, fees, licences and dues</w:t>
            </w:r>
          </w:p>
          <w:p>
            <w:pPr>
              <w:spacing w:after="50"/>
              <w:ind w:left="360" w:hanging="360"/>
            </w:pPr>
            <w:sdt>
              <w:sdtPr>
                <w:id w:val="1005"/>
                <w:alias w:val="Delivery and freight costs"/>
                <w:tag w:val="chk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Delivery and freight costs</w:t>
            </w:r>
          </w:p>
          <w:p>
            <w:pPr>
              <w:spacing w:after="50"/>
              <w:ind w:left="360" w:hanging="360"/>
            </w:pPr>
            <w:sdt>
              <w:sdtPr>
                <w:id w:val="1006"/>
                <w:alias w:val="Fuel costs (other than for motor vehicles)"/>
                <w:tag w:val="chk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Fuel costs (other than for motor vehicles)</w:t>
            </w:r>
          </w:p>
          <w:p>
            <w:pPr>
              <w:spacing w:after="50"/>
              <w:ind w:left="360" w:hanging="360"/>
            </w:pPr>
            <w:sdt>
              <w:sdtPr>
                <w:id w:val="1007"/>
                <w:alias w:val="Insurance"/>
                <w:tag w:val="chk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Insurance</w:t>
            </w:r>
          </w:p>
          <w:p>
            <w:pPr>
              <w:spacing w:after="50"/>
              <w:ind w:left="360" w:hanging="360"/>
            </w:pPr>
            <w:sdt>
              <w:sdtPr>
                <w:id w:val="1008"/>
                <w:alias w:val="Maintenance and repairs"/>
                <w:tag w:val="chk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Maintenance and repairs</w:t>
            </w:r>
          </w:p>
          <w:p>
            <w:pPr>
              <w:spacing w:after="50"/>
              <w:ind w:left="360" w:hanging="360"/>
            </w:pPr>
            <w:sdt>
              <w:sdtPr>
                <w:id w:val="1009"/>
                <w:alias w:val="Meals and entertainment expenses"/>
                <w:tag w:val="chk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Meals and entertainment expenses</w:t>
            </w:r>
          </w:p>
          <w:p>
            <w:pPr>
              <w:spacing w:after="50"/>
              <w:ind w:left="360" w:hanging="360"/>
            </w:pPr>
            <w:sdt>
              <w:sdtPr>
                <w:id w:val="1010"/>
                <w:alias w:val="Office expenses"/>
                <w:tag w:val="chk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Office expenses</w:t>
            </w:r>
          </w:p>
          <w:p>
            <w:pPr>
              <w:spacing w:after="50"/>
              <w:ind w:left="360" w:hanging="360"/>
            </w:pPr>
            <w:sdt>
              <w:sdtPr>
                <w:id w:val="1011"/>
                <w:alias w:val="Supplies"/>
                <w:tag w:val="chk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Supplies</w:t>
            </w:r>
          </w:p>
          <w:p>
            <w:pPr>
              <w:spacing w:after="50"/>
              <w:ind w:left="360" w:hanging="360"/>
            </w:pPr>
            <w:sdt>
              <w:sdtPr>
                <w:id w:val="1012"/>
                <w:alias w:val="Telephone and utilities"/>
                <w:tag w:val="chk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Telephone and utilities</w:t>
            </w:r>
          </w:p>
          <w:p>
            <w:pPr>
              <w:spacing w:after="50"/>
              <w:ind w:left="360" w:hanging="360"/>
            </w:pPr>
            <w:sdt>
              <w:sdtPr>
                <w:id w:val="1013"/>
                <w:alias w:val="Travel"/>
                <w:tag w:val="chk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Travel</w:t>
            </w:r>
          </w:p>
          <w:p>
            <w:pPr>
              <w:spacing w:before="240" w:after="80"/>
              <w:pBdr>
                <w:bottom w:val="single" w:sz="4" w:space="3" w:color="9AA5AE"/>
              </w:pBdr>
            </w:pPr>
            <w:r>
              <w:rPr>
                <w:b/>
                <w:i w:val="0"/>
                <w:color w:val="1F3A4D"/>
                <w:sz w:val="23"/>
              </w:rPr>
              <w:t>Premises and home office</w:t>
            </w:r>
          </w:p>
          <w:p>
            <w:pPr>
              <w:spacing w:after="50"/>
              <w:ind w:left="360" w:hanging="360"/>
            </w:pPr>
            <w:sdt>
              <w:sdtPr>
                <w:id w:val="1014"/>
                <w:alias w:val="Rent"/>
                <w:tag w:val="chk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Rent</w:t>
            </w:r>
          </w:p>
          <w:p>
            <w:pPr>
              <w:spacing w:after="50"/>
              <w:ind w:left="360" w:hanging="360"/>
            </w:pPr>
            <w:sdt>
              <w:sdtPr>
                <w:id w:val="1015"/>
                <w:alias w:val="Property taxes"/>
                <w:tag w:val="chk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Property taxes</w:t>
            </w:r>
          </w:p>
          <w:p>
            <w:pPr>
              <w:spacing w:after="50"/>
              <w:ind w:left="360" w:hanging="360"/>
            </w:pPr>
            <w:sdt>
              <w:sdtPr>
                <w:id w:val="1016"/>
                <w:alias w:val="Business-use-of-home expenses"/>
                <w:tag w:val="chk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Business-use-of-home expenses</w:t>
            </w:r>
          </w:p>
          <w:p>
            <w:pPr>
              <w:spacing w:after="60"/>
              <w:ind w:left="360"/>
            </w:pPr>
            <w:r>
              <w:rPr>
                <w:b w:val="0"/>
                <w:i/>
                <w:color w:val="555555"/>
                <w:sz w:val="16"/>
              </w:rPr>
              <w:t>Rent, utilities, insurance, repairs, mortgage interest, property taxes, strata fees</w:t>
            </w:r>
          </w:p>
        </w:tc>
        <w:tc>
          <w:tcPr>
            <w:tcW w:type="dxa" w:w="432"/>
          </w:tcPr>
          <w:p/>
        </w:tc>
        <w:tc>
          <w:tcPr>
            <w:tcW w:type="dxa" w:w="4824"/>
          </w:tcPr>
          <w:p>
            <w:pPr>
              <w:spacing w:before="0" w:after="80"/>
              <w:pBdr>
                <w:bottom w:val="single" w:sz="4" w:space="3" w:color="9AA5AE"/>
              </w:pBdr>
            </w:pPr>
            <w:r>
              <w:rPr>
                <w:b/>
                <w:i w:val="0"/>
                <w:color w:val="1F3A4D"/>
                <w:sz w:val="23"/>
              </w:rPr>
              <w:t>Vehicle</w:t>
            </w:r>
          </w:p>
          <w:p>
            <w:pPr>
              <w:spacing w:after="50"/>
              <w:ind w:left="360" w:hanging="360"/>
            </w:pPr>
            <w:sdt>
              <w:sdtPr>
                <w:id w:val="1017"/>
                <w:alias w:val="Licence and registration fees"/>
                <w:tag w:val="chk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Licence and registration fees</w:t>
            </w:r>
          </w:p>
          <w:p>
            <w:pPr>
              <w:spacing w:after="50"/>
              <w:ind w:left="360" w:hanging="360"/>
            </w:pPr>
            <w:sdt>
              <w:sdtPr>
                <w:id w:val="1018"/>
                <w:alias w:val="Fuel costs"/>
                <w:tag w:val="chk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Fuel costs</w:t>
            </w:r>
          </w:p>
          <w:p>
            <w:pPr>
              <w:spacing w:after="50"/>
              <w:ind w:left="360" w:hanging="360"/>
            </w:pPr>
            <w:sdt>
              <w:sdtPr>
                <w:id w:val="1019"/>
                <w:alias w:val="Insurance"/>
                <w:tag w:val="chk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Insurance</w:t>
            </w:r>
          </w:p>
          <w:p>
            <w:pPr>
              <w:spacing w:after="50"/>
              <w:ind w:left="360" w:hanging="360"/>
            </w:pPr>
            <w:sdt>
              <w:sdtPr>
                <w:id w:val="1020"/>
                <w:alias w:val="Interest on money borrowed to buy a vehicle"/>
                <w:tag w:val="chk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Interest on money borrowed to buy a vehicle</w:t>
            </w:r>
          </w:p>
          <w:p>
            <w:pPr>
              <w:spacing w:after="50"/>
              <w:ind w:left="360" w:hanging="360"/>
            </w:pPr>
            <w:sdt>
              <w:sdtPr>
                <w:id w:val="1021"/>
                <w:alias w:val="Maintenance and repairs"/>
                <w:tag w:val="chk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Maintenance and repairs</w:t>
            </w:r>
          </w:p>
          <w:p>
            <w:pPr>
              <w:spacing w:after="50"/>
              <w:ind w:left="360" w:hanging="360"/>
            </w:pPr>
            <w:sdt>
              <w:sdtPr>
                <w:id w:val="1022"/>
                <w:alias w:val="Leasing costs (operating lease)"/>
                <w:tag w:val="chk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Leasing costs (operating lease)</w:t>
            </w:r>
          </w:p>
          <w:p>
            <w:pPr>
              <w:spacing w:after="60"/>
              <w:ind w:left="360"/>
            </w:pPr>
            <w:r>
              <w:rPr>
                <w:b w:val="0"/>
                <w:i/>
                <w:color w:val="555555"/>
                <w:sz w:val="16"/>
              </w:rPr>
              <w:t>Please keep a log of your business kilometres.</w:t>
            </w:r>
          </w:p>
          <w:p>
            <w:pPr>
              <w:spacing w:before="240" w:after="80"/>
              <w:pBdr>
                <w:bottom w:val="single" w:sz="4" w:space="3" w:color="9AA5AE"/>
              </w:pBdr>
            </w:pPr>
            <w:r>
              <w:rPr>
                <w:b/>
                <w:i w:val="0"/>
                <w:color w:val="1F3A4D"/>
                <w:sz w:val="23"/>
              </w:rPr>
              <w:t>People</w:t>
            </w:r>
          </w:p>
          <w:p>
            <w:pPr>
              <w:spacing w:after="50"/>
              <w:ind w:left="360" w:hanging="360"/>
            </w:pPr>
            <w:sdt>
              <w:sdtPr>
                <w:id w:val="1023"/>
                <w:alias w:val="Salaries, wages and benefits (including employer’s contributions)"/>
                <w:tag w:val="chk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Salaries, wages and benefits (including employer’s contributions)</w:t>
            </w:r>
          </w:p>
          <w:p>
            <w:pPr>
              <w:spacing w:after="50"/>
              <w:ind w:left="360" w:hanging="360"/>
            </w:pPr>
            <w:sdt>
              <w:sdtPr>
                <w:id w:val="1024"/>
                <w:alias w:val="Private health services plan premiums"/>
                <w:tag w:val="chk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Private health services plan premiums</w:t>
            </w:r>
          </w:p>
          <w:p>
            <w:pPr>
              <w:spacing w:after="50"/>
              <w:ind w:left="360" w:hanging="360"/>
            </w:pPr>
            <w:sdt>
              <w:sdtPr>
                <w:id w:val="1025"/>
                <w:alias w:val="Management and administration fees"/>
                <w:tag w:val="chk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Management and administration fees</w:t>
            </w:r>
          </w:p>
          <w:p>
            <w:pPr>
              <w:spacing w:before="240" w:after="80"/>
              <w:pBdr>
                <w:bottom w:val="single" w:sz="4" w:space="3" w:color="9AA5AE"/>
              </w:pBdr>
            </w:pPr>
            <w:r>
              <w:rPr>
                <w:b/>
                <w:i w:val="0"/>
                <w:color w:val="1F3A4D"/>
                <w:sz w:val="23"/>
              </w:rPr>
              <w:t>Professional and financial</w:t>
            </w:r>
          </w:p>
          <w:p>
            <w:pPr>
              <w:spacing w:after="50"/>
              <w:ind w:left="360" w:hanging="360"/>
            </w:pPr>
            <w:sdt>
              <w:sdtPr>
                <w:id w:val="1026"/>
                <w:alias w:val="Legal, accounting and other professional fees"/>
                <w:tag w:val="chk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Legal, accounting and other professional fees</w:t>
            </w:r>
          </w:p>
          <w:p>
            <w:pPr>
              <w:spacing w:after="50"/>
              <w:ind w:left="360" w:hanging="360"/>
            </w:pPr>
            <w:sdt>
              <w:sdtPr>
                <w:id w:val="1027"/>
                <w:alias w:val="Interest charges"/>
                <w:tag w:val="chk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Interest charges</w:t>
            </w:r>
          </w:p>
          <w:p>
            <w:pPr>
              <w:spacing w:after="60"/>
              <w:ind w:left="360"/>
            </w:pPr>
            <w:r>
              <w:rPr>
                <w:b w:val="0"/>
                <w:i/>
                <w:color w:val="555555"/>
                <w:sz w:val="16"/>
              </w:rPr>
              <w:t>Interest, fees and penalties on business-related loans</w:t>
            </w:r>
          </w:p>
          <w:p>
            <w:pPr>
              <w:spacing w:after="50"/>
              <w:ind w:left="360" w:hanging="360"/>
            </w:pPr>
            <w:sdt>
              <w:sdtPr>
                <w:id w:val="1028"/>
                <w:alias w:val="Capital cost allowance (tax depreciation on capital items)"/>
                <w:tag w:val="chk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</w:t>
            </w:r>
            <w:r>
              <w:rPr>
                <w:b w:val="0"/>
                <w:i w:val="0"/>
                <w:sz w:val="18"/>
              </w:rPr>
              <w:t>Capital cost allowance (tax depreciation on capital items)</w:t>
            </w:r>
          </w:p>
        </w:tc>
      </w:tr>
    </w:tbl>
    <w:p>
      <w:pPr>
        <w:spacing w:before="16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F2C9A8"/>
          <w:left w:val="single" w:sz="4" w:space="0" w:color="F2C9A8"/>
          <w:bottom w:val="single" w:sz="4" w:space="0" w:color="F2C9A8"/>
          <w:right w:val="single" w:sz="4" w:space="0" w:color="F2C9A8"/>
        </w:tblBorders>
      </w:tblPr>
      <w:tblGrid>
        <w:gridCol w:w="10080"/>
      </w:tblGrid>
      <w:tr>
        <w:tc>
          <w:tcPr>
            <w:tcW w:type="dxa" w:w="10080"/>
            <w:shd w:val="clear" w:color="auto" w:fill="FFF4EA"/>
            <w:tcMar>
              <w:top w:w="100" w:type="dxa"/>
              <w:left w:w="180" w:type="dxa"/>
              <w:bottom w:w="100" w:type="dxa"/>
              <w:right w:w="180" w:type="dxa"/>
            </w:tcMar>
          </w:tcPr>
          <w:p>
            <w:r>
              <w:rPr>
                <w:b/>
                <w:i w:val="0"/>
                <w:color w:val="B5482A"/>
                <w:sz w:val="19"/>
              </w:rPr>
              <w:t>The simple rule</w:t>
            </w:r>
          </w:p>
          <w:p>
            <w:pPr>
              <w:spacing w:before="40"/>
            </w:pPr>
            <w:r>
              <w:rPr>
                <w:b w:val="0"/>
                <w:i w:val="0"/>
                <w:sz w:val="19"/>
              </w:rPr>
              <w:t>In general, an expense relates to your business when it helps you earn income. Please keep your receipts and invoices.</w:t>
            </w:r>
          </w:p>
        </w:tc>
      </w:tr>
    </w:tbl>
    <w:p>
      <w:pPr>
        <w:spacing w:before="200"/>
      </w:pPr>
      <w:r>
        <w:rPr>
          <w:b w:val="0"/>
          <w:i/>
          <w:color w:val="555555"/>
          <w:sz w:val="19"/>
        </w:rPr>
        <w:t>Not sure if something applies? Send it anyway and we’ll sort it out.</w:t>
      </w:r>
    </w:p>
    <w:sectPr w:rsidR="00FC693F" w:rsidRPr="0006063C" w:rsidSect="00034616">
      <w:footerReference w:type="default" r:id="rId11"/>
      <w:pgSz w:w="12240" w:h="15840"/>
      <w:pgMar w:top="864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  <w:jc w:val="left"/>
    </w:pPr>
    <w:r>
      <w:rPr>
        <w:b w:val="0"/>
        <w:i w:val="0"/>
        <w:color w:val="555555"/>
        <w:sz w:val="16"/>
      </w:rPr>
      <w:t>Coast Mountain Accounting  |  778-887-4664  |  info@coastmountainaccounting.com  |  coastmountainaccounting.com</w:t>
      <w:tab/>
      <w:t xml:space="preserve">Page </w:t>
    </w:r>
    <w:r>
      <w:rPr>
        <w:color w:val="555555"/>
        <w:sz w:val="1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Expenses Checklist - Coast Mountain Accounting</dc:title>
  <dc:subject/>
  <dc:creator>Coast Mountain Accounting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